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145</w:t>
      </w:r>
    </w:p>
    <w:p>
      <w:r>
        <w:t>Bundesgericht (BGE), 2015-01-29, FR</w:t>
      </w:r>
    </w:p>
    <w:p>
      <w:r>
        <w:rPr>
          <w:b/>
        </w:rPr>
        <w:t xml:space="preserve">Quelle: </w:t>
      </w:r>
      <w:r>
        <w:t>https://mcp.opencaselaw.ch/entscheid/bge_141 III 145</w:t>
      </w:r>
    </w:p>
    <w:p>
      <w:r>
        <w:t>FR: ATF 141 III 145</w:t>
      </w:r>
    </w:p>
    <w:p>
      <w:r>
        <w:t>IT: DTF 141 III 145</w:t>
      </w:r>
    </w:p>
    <w:p>
      <w:pPr>
        <w:pStyle w:val="Heading2"/>
      </w:pPr>
      <w:r>
        <w:t>Regeste</w:t>
      </w:r>
    </w:p>
    <w:p>
      <w:r>
        <w:t>Regeste Art. 206 Abs. 1 und Art. 209 Abs. 3 ZGB; Schicksal des konjunkturellen Mehrwerts einer Liegenschaft, der auf einen Vorbezug von Freizügigkeitsguthaben entfällt; Auflösung des Güterstandes vor Eintritt eines Vorsorgefalls. Bis zum Eintritt eines Vorsorgefalls ist ein Vorbezug wie ein von der Vorsorgeeinrichtung gewährtes Darlehen zu behandeln; bei der Auflösung des Güterstandes ist der auf den Vorbezug entfallende Mehrwert gleich zu behandeln wie der Mehrwert, der auf ein ausstehendes Hypothekardarlehen entfällt (E. 3 und 4).</w:t>
      </w:r>
    </w:p>
    <w:p>
      <w:pPr>
        <w:pStyle w:val="Heading2"/>
      </w:pPr>
      <w:r>
        <w:t>Erwägungen</w:t>
      </w:r>
    </w:p>
    <w:p>
      <w:r>
        <w:rPr>
          <w:b/>
        </w:rPr>
        <w:t>E. 3</w:t>
      </w:r>
    </w:p>
    <w:p>
      <w:r>
        <w:t>Le recourant invoque la violation des art. 206 al. 1 et 209 al. 3 CC en lien avec le sort de la plus-value conjoncturelle engendrée par l'immeuble des époux.</w:t>
      </w:r>
    </w:p>
    <w:p>
      <w:r>
        <w:rPr>
          <w:b/>
        </w:rPr>
        <w:t>E. 3.1</w:t>
      </w:r>
    </w:p>
    <w:p>
      <w:r>
        <w:t>La cour cantonale a tout d'abord constaté que les parties s'accordaient sur la valeur vénale actuelle de l'immeuble de 2'600'000 fr. et que cet immeuble avait été financé à hauteur de 1'010'000 fr. par un emprunt hypothécaire et de 310'950 fr. par un versement anticipé de l'institution de prévoyance professionnelle de l'époux; la plus-value engendrée par l'immeuble était donc de 1'279'050 fr. ([2'600'000 fr. - 1'010'000 fr. - 310'950 fr.]). Elle a ensuite jugé que cette somme devait être partagée par moitié entre les époux, compte tenu de leur qualité de copropriétaires pour moitié chacun et de la jurisprudence ( ATF 138 III 150 ); l'époux devait ainsi à l'intimée la somme de 639'525 fr. La cour a ensuite intégré l'immeuble, attribué en pleine propriété à l'époux, à la masse des acquêts de ce dernier à la valeur de 2'600'000 fr., dès lors qu'il avait été acquis à titre onéreux pendant le régime ( art. 197 al. 1 et art. 200 al. 3 CC ). L'emprunt hypothécaire de même que le versement anticipé des avoirs de prévoyance professionnelle de l'époux, qu'elle a considéré comme un prêt, grevaient en conséquence la masse des acquêts. Elle a enfin estimé que, dans la mesure où les biens propres de l'époux n'avaient fait aucune contribution effective, il n'y avait pas lieu à récompense variable. Dès lors, l'indemnité de 639'525 fr. revenant à l'épouse dans la liquidation de la copropriété de l'immeuble devait grever les acquêts de l'époux, auxquels était attribué l'immeuble. Elle devait ainsi être attribuée à la masse des acquêts de l'épouse ( art. 200 al. 3 CC ).</w:t>
      </w:r>
    </w:p>
    <w:p>
      <w:r>
        <w:rPr>
          <w:b/>
        </w:rPr>
        <w:t>E. 3.2</w:t>
      </w:r>
    </w:p>
    <w:p>
      <w:r>
        <w:t>Le recourant fait valoir que la plus-value afférente à la part du versement anticipé de ses avoirs de prévoyance professionnelle constitués au moyen de ses revenus accumulés avant le mariage doit profiter à ses biens propres et non pas, comme l'a retenu la Cour de justice, à ses acquêts et à ceux de son ex-épouse. Ses biens propres aurait ainsi une créance - ascendant à 280'623 fr. 60 [21,94 % de la plus-value de 1'279'050 fr.] - contre ses acquêts et ceux de son épouse. Il y aurait lieu de retrancher cette créance du montant alloué à l'épouse par la Cour de justice au titre de la liquidation du régime matrimonial. BGE 141 III 145 S. 148</w:t>
      </w:r>
    </w:p>
    <w:p>
      <w:r>
        <w:rPr>
          <w:b/>
        </w:rPr>
        <w:t>E. 4</w:t>
      </w:r>
    </w:p>
    <w:p>
      <w:r>
        <w:t>La question qui se pose porte sur le sort de la plus-value conjoncturelle d'un immeuble afférente à un versement anticipé de la prestation de libre passage lors de la dissolution du régime avant la survenance d'un cas de prévoyance. Le Tribunal fédéral n'a jamais été amené à se prononcer sur cette question.</w:t>
      </w:r>
    </w:p>
    <w:p>
      <w:r>
        <w:rPr>
          <w:b/>
        </w:rPr>
        <w:t>E. 4.1</w:t>
      </w:r>
    </w:p>
    <w:p>
      <w:r>
        <w:t>Pour déterminer le bénéfice de chaque époux (cf. 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Chaque bien d'un époux est rattaché exclusivement à une seule masse ( ATF 132 III 145 consid. 2.2.1; cf. également ATF 141 III 53 consid. 5.4 p. 59). Les art. 206 et 209 al. 3 CC instaurent le partage entre les époux, d'une part, et entre les masses d'un époux, d'autre part, des plus-values conjoncturelles, soit celles qui résultent des forces du marché sans apport du propriétaire du bien ( ATF 132 III 145 consid. 2.3; ATF 131 III 252 consid. 3; ATF 141 III 53 précité consid. 5.4 p. 59; arrêts 5A_279/2013 du 10 juillet 2013 consid. 3.1 et 3.2, résumé in FamPra.ch 2013 p. 1022; 5C.81/2001 du 14 janvier 2002 consid. 5b, in Pra 2002 n° 69 p. 392 et RNRF 84/2003 p. 250). Seule la plus-value tombant dans les acquêts d'un époux est partagée avec l'autre.</w:t>
      </w:r>
    </w:p>
    <w:p>
      <w:r>
        <w:rPr>
          <w:b/>
        </w:rPr>
        <w:t>E. 4.2</w:t>
      </w:r>
    </w:p>
    <w:p>
      <w:r>
        <w:t>En vertu des art. 30c 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En cas de vente du logement, il doit rembourser le produit réalisé.</w:t>
      </w:r>
    </w:p>
    <w:p>
      <w:r>
        <w:rPr>
          <w:b/>
        </w:rPr>
        <w:t>E. 4.2.1</w:t>
      </w:r>
    </w:p>
    <w:p>
      <w:r>
        <w:t>Au sujet de l'encouragement à l'accession à la propriété du logement au moyen de la prévoyance professionnelle, le Message du Conseil fédéral mentionne uniquement que, du point de vue des régimes matrimoniaux, le logement doit être traité comme s'il avait été acquis au moyen d'un prêt. Lorsqu'un cas de prévoyance est déjà survenu avant le divorce pour le preneur d'assurance, l'argent n'est plus bloqué et les fonds investis dans le logement doivent être traités dans le cadre de la liquidation du régime matrimonial, comme en cas de versement en espèces (Message du 15 novembre 1995 concernant la révision du Code civil suisse, FF 1996 I 1 ss, 113 ch. 233.45). BGE 141 III 145 S. 149</w:t>
      </w:r>
    </w:p>
    <w:p>
      <w:r>
        <w:rPr>
          <w:b/>
        </w:rPr>
        <w:t>E. 4.2.2</w:t>
      </w:r>
    </w:p>
    <w:p>
      <w:r>
        <w:t>Dans sa majorité, la doctrine s'accorde aussi à considérer que, jusqu'à la survenance d'un cas de prévoyance, le versement anticipé doit être considéré comme un prêt de l'institution de prévoyance. Elle avance comme argument principal que le versement anticipé se rapporte à une expectative, que l'assuré n'est pas sûr de pouvoir conserver, de sorte qu'il ne doit pas être comptabilisé dans le régime, ce contrairement aux prestations effectives faites à un époux suite à un cas de prévoyance, qui, elles, entrent dans les acquêts, quelle que soit la masse qui a payé les cotisations et même si celles-ci ont été payées avant le régime ( art. 197 al. 2 ch. 2 CC ); la réglementation des effets du divorce confirme indirectement que le droit à des rentes futures n'est pas pris en compte lors de la liquidation du régime puisque, dans ce cas, un partage des prestations de sortie acquises pendant le mariage est spécialement réglé par les art. 122 ss CC . (cf. art. 197 ss CC ; cf. surtout, BADDELEY, La plus-value du logement acquis par des époux: répartition en cas d'utilisation des avoirs de la prévoyance professionnelle, Jusletter 8 décembre 2008 n. 27 et 32; BÄDER FEDERSPIEL, Wohneigentumsförderung und Scheidung [ci-après: Wohneigentumsförderung], 2008, n. 50 s., 91 ss, 111 et les références; GEISER, Le nouveau droit du divorce et les droits en matière de prévoyance professionnelle, in De l'ancien au nouveau droit du divorce, Pfister-Liechti [éd.], 1999, p. 53 ss, 73; STEINAUER, Le statut dans la participation aux acquêts d'un immeuble acquis au moyen d'un versement anticipé du deuxième pilier [ci-après: Participation], in Soziale Sicherheit - Soziale Unsicherheit, 2010, p. 857 ss, 859 ss et les références; d'autres auteurs préconisent l'attribution du bien en fonction des avoirs accumulés avant et après le mariage: cf. SANDOZ, Prévoyance professionnelle et divorce [ci-après: Prévoyance], in Le droit du divorce: Questions actuelles et besoin de réforme, Pichonnaz/Rumo-Jungo [éd.], 2008, p. 35 ss, 54 s.; SCHAI, Vorbezüge aus der zweiten Säule für Wohneigentum im Scheidungsfall, BJM 2006 p. 57 ss, 87 ss; SUTTER-SOMM/KOBEL, Ist das schweizerische Ehegüterrecht revisionsbedürftig?, FamPra.ch 2004 p. 776 ss, 788 ss).</w:t>
      </w:r>
    </w:p>
    <w:p>
      <w:r>
        <w:rPr>
          <w:b/>
        </w:rPr>
        <w:t>E. 4.2.3</w:t>
      </w:r>
    </w:p>
    <w:p>
      <w:r>
        <w:t>En revanche, la doctrine est plus divisée sur la question du sort de la plus-value conjoncturelle afférente au versement anticipé. On peut distinguer principalement quatre courants (pour une présentation complète, cf. not. BÄDER FEDERSPIEL, Wohneigentumsförderung, op.cit., n. 153 ss; la même , Vorbezüge für Wohneigentum in der güterrechtlichen Auseinandersetzung bei Scheidung [ci-après: Vorbezüge], FamPra.ch 2009 p. 807 ss, 815 ss;STEINAUER, Participation, op. cit., p. 867 ss). BGE 141 III 145 S. 150 Un premier courant majoritaire, insistant sur le fait qu'il s'agit de fonds prêtés par un tiers pour lesquels la masse débitrice sur le plan interne n'a pas eu la charge d'intérêts, propose que le traitement de la plus-value afférente au versement anticipé soit le même que celui appliqué à la plus-value afférente à un emprunt hypothécaire non remboursé; il s'agirait ainsi de répartir la plus-value afférente au versement anticipé entre les biens propres et les acquêts de l'époux assuré proportionnellement aux contributions effectives que chacune de ces masses a faites pour financer l'acquisition du logement (sur cette méthode lors d'un emprunt hypothécaire: ATF 132 III 145 consid. 2.3; ATF 123 III 152 consid. 6b/bb; STEINAUER, Deuxième pilier, versement anticipé et régimes matrimoniaux [ci-après: Deuxième pilier], in Deuxième pilier et épargne privée en droit du divorce, Pichonnaz/Rumo-Jungo [éd.], 2010, p. 1 ss, 38 s.; le même , Participation, op. cit., p. 870 s.; DESCHENAUX/STEINAUER/BADDELEY, Les effets du mariage, 2 e éd. 2009, n. 1294c p. 593 s.; cf. aussi, AEBI-MÜLLER, Vorbezüge für Wohneigentum bei Scheidung: Wer trägt den Zinsverlust?, RJB 137/2001 p. 132 ss, 134; la même , Die optimale Begünstigung des überlebenden Ehegatten, 2 e éd. 2007, n. 03.40; BÄDER FEDERSPIEL, Wohneigentumsförderung, op. cit., n. 154 ss et 180; la même , Vorbezüge, op. cit., p. 818 ss et 825 ss; GEISER, Vorsorgeausgleich: Aufteilung bei Vorbezug für Wohneigentumserwerb und nach Eintreten eines Vorsorgefalls, FamPra.ch 2002 p. 83 ss, 93; HAUSHEER/AEBI-MÜLLER, in Basler Kommentar, Zivilgesetzbuch, vol. I, 5 e éd. 2014, n° 30a ad art. 209 CC ; HAUSHEER/REUSSER/GEISER, Berner Kommentar, 1996, n° 16 ad art. 237 CC ; KOLLER, Familien- und Erbrecht und Vorsorge, recht Studienheft 4, 1997 p. 10; WOLF, Grundstücke in der güter- und erbrechtlichen Auseinandersetzung, RJB 136/2000 p. 241 ss, 254 s.). Un deuxième courant important est d'avis qu'il convient, soit pour des raisons d'équité, soit au motif que le prêt de l'institution de prévoyance se distingue d'un prêt ordinaire en tant que l'époux propriétaire utilise des droits qu'il a accumulés et s'apparente à un apport en fonds propres, de tenir compte de l'origine des fonds prêtés par l'institution de prévoyance. Il propose de répartir la plus-value liée au versement anticipé entre les propres et les acquêts de l'époux assuré selon que les avoirs de prévoyance ont été accumulés avant ou après le mariage. Ainsi, seule la part du versement anticipé correspondant à des avoirs de prévoyance accumulés pendant le régime doit être considérée comme un acquêt (BÜCHLER/VETTERLI, Ehe, Partnerschaft, Kinder, Eine Einführung in das Familienrecht der Schweiz, BGE 141 III 145 S. 151 2 e éd. 2011, p. 71; KOBEL, Immobilien in der güterrechtlichen Auseinandersetzung, 2007, p. 131 s.; PICHONNAZ/RUMO-JUNGO, Prévoyance et droit patrimonial de la famille, in Droit patrimonial de la famille, 2004, p. 1 ss, 14; SANDOZ, Prévoyance, op. cit., p. 48 ss et 54 s.; la même , Prévoyance professionnelle et acquisition du logement par des personnes mariées, in Privatrecht im Spannungsfeld zwischen gesellschaftlichem Wandel und ethischer Verantwortung, 2002, p. 315 ss, 322 et 327 ss; SCHAI, op. cit., p. 87 ss]). Ces auteursestiment par conséquent que la plus-value doit être considérée comme un acquêt pour la part du versement correspondant à des avoirs de libre passage accumulés pendant le régime de la participation aux acquêts et comme un propre dans l'hypothèse où ces fonds proviennent d'avoirs accumulés avant le mariage. Un auteur propose une solution mixte, conjuguant ces deux principaux courants. Il est d'avis que la part du versement anticipé provenant d'avoirs de prévoyance accumulés avant le mariage doit être assimilée à des biens propres et ajoutée aux biens propres investis dans l'immeuble, celle provenant des avoirs accumulés après le mariage augmentant les acquêts investis dans l'immeuble. Chaque masse bénéficie ensuite de la plus-value en proportion de son "investissement" dans l'immeuble (BADDELEY, op. cit., n. 67 ss; cf. DESCHENAUX/STEINAUER/BADDELEY, op. cit., n. 1294b p. 593). Enfin, un quatrième et dernier courant, minoritaire, considère que la plus-value afférente au versement anticipé doit profiter aux acquêts par application analogique de l' art. 197 al. 2 ch. 2 CC , au motif que les fonds prêtés sont liés à la prévoyance (MOSER, Zum Leistungs- und Koordinationsrecht aus Sicht der beruflichen Vorsorge - Betrachtungen anhand eines praktischen Anwendungsbeispiels [unter Einbezug möglicher scheidungsrechtlicher Aspekte], RSAS 1997 p. 362 ss, 392; REUSSER, Die Vorsorge für die geschiedene Ehefrau unter besonderer Berücksichtigung von Art. 22 des neuen Freizügigkeitsgesetzes, PJA 1994 p. 1510 ss, 1517; TRIGO TRINDADE, Prévoyance professionnelle, divorce et succession, SJ 2000 II p. 467 ss, 486).</w:t>
      </w:r>
    </w:p>
    <w:p>
      <w:r>
        <w:rPr>
          <w:b/>
        </w:rPr>
        <w:t>E. 4.3</w:t>
      </w:r>
    </w:p>
    <w:p>
      <w:r>
        <w:t>La doctrine majoritaire doit être suivie tant en ce qui concerne le statut matrimonial de l'immeuble financé par un versement anticipé (infra consid. 4.3.1) qu'en ce qui concerne le sort de la plus-value conjoncturelle de l'immeuble afférente à ce versement (infra consid. 4.3.2).</w:t>
      </w:r>
    </w:p>
    <w:p>
      <w:r>
        <w:rPr>
          <w:b/>
        </w:rPr>
        <w:t>E. 4.3.1</w:t>
      </w:r>
    </w:p>
    <w:p>
      <w:r>
        <w:t>Ainsi, jusqu'à la survenance d'un cas de prévoyance, le versement anticipé, qui se rapporte à une expectative (consid. 4.3.2.1 BGE 141 III 145 S. 152 infra), doit être considéré comme un prêt de l'institution de prévoyance (supra consid. 4.2.1 et 4.2.2). Il n'exerce donc pas d'influence sur le rattachement de l'immeuble à l'actif d'une des masses de l'acquéreur; ce rattachement obéit aux règles ordinaires ( art. 197 ss CC ). L'immeuble est intégré à la masse de l'époux propriétaire qui, lors de l'acquisition, a apporté la contribution au comptant la plus importante ou, en cas d'égalité, aux acquêts ( art. 200 al. 3 CC ); l'immeuble acquis entièrement à crédit pendant le mariage entre dans les acquêts (arrêt 5A_111/2007 du 8 janvier 2008 consid. 4.2.3, in FamPra.ch 2008 p. 380). Le versement anticipé grève à titre de dette la masse à laquelle l'immeuble est rattaché ( art. 209 al. 2 CC ; ATF 132 III 145 consid. 2.3.2).</w:t>
      </w:r>
    </w:p>
    <w:p>
      <w:r>
        <w:rPr>
          <w:b/>
        </w:rPr>
        <w:t>E. 4.3.2</w:t>
      </w:r>
    </w:p>
    <w:p>
      <w:r>
        <w:t>Lorsque le régime matrimonial est dissous avant la survenance d'un cas de prévoyance, les règles valant pour les dettes hypothécaires ( ATF 132 III 145 ) s'appliquent, la plus-value afférente au versement anticipé étant ainsi répartie selon la contribution effective de chacune des masses de l'acquéreur au financement de l'immeuble.</w:t>
      </w:r>
    </w:p>
    <w:p>
      <w:r>
        <w:rPr>
          <w:b/>
        </w:rPr>
        <w:t>E. 4.3.2.1</w:t>
      </w:r>
    </w:p>
    <w:p>
      <w:r>
        <w:t>Cette conclusion se justifie principalement du fait qu'aussi longtemps qu'un cas de prévoyance n'est pas survenu, le versement anticipé se rapporte à une expectative et, dès lors qu'il n'est pas certain que celle-ci s'actualisera un jour, il n'est pas sûr que ce versement puisse être conservé. Dans ces conditions, une application analogique de l' art. 197 al. 2 ch. 2 CC et l'attribution de la plus-value exclusivement aux acquêts (quatrième courant doctrinal) ou selon l'origine des fonds qui ont permis de constituer le versement anticipé (deuxième et troisième courants doctrinaux) ne peut être approuvée. Une telle solution reviendrait en effet à considérer la survenance d'un cas de prévoyance comme acquise alors que ce point est encore indécis au moment où se pose la question de la répartition (STEINAUER, Participation, op. cit., p. 870; BÄDER FEDERSPIEL, Wohneigentumsförderung, op. cit., n. 170).</w:t>
      </w:r>
    </w:p>
    <w:p>
      <w:r>
        <w:rPr>
          <w:b/>
        </w:rPr>
        <w:t>E. 4.3.2.2</w:t>
      </w:r>
    </w:p>
    <w:p>
      <w:r>
        <w:t>Il faut également opposer aux propositions doctrinales qui prennent en considération l'origine des fonds prêtés que le principe de la subrogation patrimoniale, que l'on retrouve en matière de régimes matrimoniaux, ne s'applique pas dans le cadre de la prévoyance professionnelle: le versement anticipé se substitue en effet à l'expectative dont dispose l'assuré contre l'institution de prévoyance, mais non aux versements effectués par l'intéressé en faveur de dite institution (BÄDER FEDERSPIEL, Wohneigentumsförderung, op. cit., n. 179). Prendre en considération l'origine des fonds constituant le versement BGE 141 III 145 S. 153 anticipé serait au demeurant paradoxal dans la mesure où, même lorsqu'un cas de prévoyance se produit, l' art. 197 al. 2 ch. 2 CC ignore cette origine, le versement de l'institution de prévoyance entrant entièrement dans les acquêts (STEINAUER, Participation, op. cit., p. 871; le même , Deuxième pilier, op. cit., p. 39). Il est vrai que, suite à un divorce, l'origine des fonds est prise en compte par les art. 122 ss CC lorsqu'il s'agit de partager la prestation de sortie; de même, dans son Message du 29 mai 2013 concernant la révision du code civil suisse (Partage de la prévoyance professionnelle en cas de divorce), le Conseil fédéral estime qu'en cas de versement anticipé, la perte d'intérêts ainsi que la diminution de capital liée à une vente à perte ou sans bénéfice de l'immeuble doivent être répartis proportionnellement entre l'avoir de prévoyance acquis avant le mariage et l'avoir constitué durant le mariage (FF 2013 4341 ss [ch. 2.6 ad art. 22a de la loi sur le libre passage, p. 4393 s.]; contra, mais seulement pour la diminution de capital: ATF 132 V 332 consid. 4.3.2 et 4.3.3; laissent la question ouverte s'agissant du traitement de la perte d'intérêts: ATF 132 V 332 consid. 4.4; ATF 135 V 436 consid. 4.4). Il ne faut cependant pas perdre de vue que le partage de la prestation de sortie est ordonné en dehors de toute considération liée au régime matrimonial (notamment: ATF 128 V 41 consid. 2d; WALSER, in Basler Kommentar, Zivilgesetzbuch, vol. I, 5 e éd. 2014, n° 2 ad art. 122 CC ; STEINAUER, Participation, op. cit., p. 871; BÄDER FEDERSPIEL, Wohneigentumsförderung, op. cit., n. 179) dans la seule perspective du divorce, afin de compenser les pertes de prévoyance encourues en raison de la répartition des tâches durant le mariage et d'assurer l'indépendance économique des époux ( ATF 129 III 577 consid. 4.2.1; ATF 128 V 41 consid. 2d). Or la question de la répartition de la plus-value afférente au versement anticipé doit être reliée aux régimes matrimoniaux et se pose ainsi non seulement en cas de divorce, mais pour tous les cas de dissolution du régime. Les règles ordinaires doivent en conséquence l'emporter sur celles fondées sur le correctif introduit par l' art. 122 CC (STEINAUER, Participation, op. cit., p. 871; le même , Deuxième pilier, op. cit., p. 39; BÄDER FEDERSPIEL, Wohneigentumsförderung, op. cit., n. 179; cf. dans cette ligne également: ATF 135 V 436 consid. 3.3 qui retient qu'en cas de versement anticipé, l'impossibilité de réintégration des avoirs de prévoyance suite à une vente à perte de l'immeuble ainsi financé [ art. 30d al. 5 LPP ] doit être prise en considération dans la liquidation du régime matrimonial). BGE 141 III 145 S. 154</w:t>
      </w:r>
    </w:p>
    <w:p>
      <w:r>
        <w:rPr>
          <w:b/>
        </w:rPr>
        <w:t>E. 4.4</w:t>
      </w:r>
    </w:p>
    <w:p>
      <w:r>
        <w:t>En l'espèce, l'arrêt cantonal ne viole donc pas le droit fédéral sur le point objet du grief soulevé par le recourant: le régime matrimonial du couple est celui de la participation aux acquêts, l'immeuble en cause a été acquis entièrement à crédit durant l'union conjugale en copropriété au moyen d'un emprunt bancaire contracté par les époux de manière solidaire ainsi que d'un versement anticipé du fonds de prévoyance du recourant, et la liquidation du régime matrimonial intervient avant qu'un cas de prévoyance ne soit survenu. Attribué au recourant, l'immeuble entre dans ses acquêts et la plus-value conjoncturelle intègre également cette masse de biens, sans qu'il y ait lieu à récompense en faveur de ses propres. La question d'une éventuelle créance variable envers l'épouse au sens de l' art. 206 CC n'a pas d'objet vu ces circonstances: les fonds de tiers investis dans l'immeuble sont totalement remboursés et toute valeur de l'immeuble constitue un acquêt, de sorte que la réalisation d'un bénéfice pour l'un des époux plutôt que par l'autre est sans importance sur le montant final revenant à chacun (cf. DESCHENAUX/STEINAUER/BADDELEY, op. cit., n. 1347 p. 616 s.). C'est ainsi à raison que l'autorité cantonale a considéré que chaque époux devait, en fin de compte, bénéficier de la moitié de la plus-value conjoncturelle afférente au versement anticipé. Le grief de la violation des art. 206 al. 1 et 209 al. 3 CC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